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3C" w:rsidRPr="00C81A3C" w:rsidRDefault="00C81A3C" w:rsidP="00C81A3C">
      <w:pPr>
        <w:spacing w:after="150" w:line="240" w:lineRule="auto"/>
        <w:jc w:val="center"/>
        <w:outlineLvl w:val="0"/>
        <w:rPr>
          <w:rFonts w:ascii="Helvetica" w:eastAsia="Times New Roman" w:hAnsi="Helvetica" w:cs="Helvetica"/>
          <w:b/>
          <w:color w:val="FF0000"/>
          <w:kern w:val="36"/>
          <w:sz w:val="36"/>
          <w:szCs w:val="36"/>
        </w:rPr>
      </w:pPr>
      <w:r w:rsidRPr="00C81A3C">
        <w:rPr>
          <w:rFonts w:ascii="Helvetica" w:eastAsia="Times New Roman" w:hAnsi="Helvetica" w:cs="Helvetica"/>
          <w:b/>
          <w:color w:val="FF0000"/>
          <w:kern w:val="36"/>
          <w:sz w:val="36"/>
          <w:szCs w:val="36"/>
        </w:rPr>
        <w:t>NHỮNG DẤU HIỆU NHẬN BIẾT TRẺ BỊ CHÂN TAY MIỆNG PHỤ HUYNH NÊN BI</w:t>
      </w:r>
      <w:r w:rsidRPr="00C81A3C">
        <w:rPr>
          <w:rFonts w:ascii="Helvetica" w:eastAsia="Times New Roman" w:hAnsi="Helvetica" w:cs="Helvetica"/>
          <w:b/>
          <w:color w:val="FF0000"/>
          <w:kern w:val="36"/>
          <w:sz w:val="36"/>
          <w:szCs w:val="36"/>
        </w:rPr>
        <w:t>Ế</w:t>
      </w:r>
      <w:r w:rsidRPr="00C81A3C">
        <w:rPr>
          <w:rFonts w:ascii="Helvetica" w:eastAsia="Times New Roman" w:hAnsi="Helvetica" w:cs="Helvetica"/>
          <w:b/>
          <w:color w:val="FF0000"/>
          <w:kern w:val="36"/>
          <w:sz w:val="36"/>
          <w:szCs w:val="36"/>
        </w:rPr>
        <w:t>T</w:t>
      </w:r>
    </w:p>
    <w:p w:rsidR="00C81A3C" w:rsidRDefault="00C81A3C" w:rsidP="00C81A3C">
      <w:pPr>
        <w:pStyle w:val="NormalWeb"/>
        <w:spacing w:before="30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222222"/>
          <w:sz w:val="28"/>
          <w:szCs w:val="28"/>
          <w:shd w:val="clear" w:color="auto" w:fill="FFFFFF"/>
        </w:rPr>
        <w:t>“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xuất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truyền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chữa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khỏi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kịp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>”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khoảng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10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năm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vẫn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còn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một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loại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"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với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nay,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thành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nỗi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lo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trực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ai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đặc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biệt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từ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tuổi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xuống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độ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tuổi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tập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trung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mẫu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lan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mạnh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tính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một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truyền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khoảng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400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ngoài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cộng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đồng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  <w:color w:val="337AB7"/>
          <w:sz w:val="28"/>
          <w:szCs w:val="28"/>
        </w:rPr>
        <w:drawing>
          <wp:inline distT="0" distB="0" distL="0" distR="0" wp14:anchorId="3E900C93" wp14:editId="373F3ED1">
            <wp:extent cx="4629230" cy="2562225"/>
            <wp:effectExtent l="0" t="0" r="0" b="0"/>
            <wp:docPr id="1" name="Picture 1" descr="http://mnquanhoa.caugiay.edu.vn/upload/26960/fck/files/2022_05_09_14_29_542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quanhoa.caugiay.edu.vn/upload/26960/fck/files/2022_05_09_14_29_542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Lúc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đầu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chú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lắm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đột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thành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nỗi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hùng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với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bậc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phụ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huynh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hùng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một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người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chưa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thuốc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ngừa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thuốc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đặc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nhiễm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chủng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virus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nhau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Thế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chưa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cha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nớp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lo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rồi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canh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nỗi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lo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Còn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khỏi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ảnh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liệu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>?</w:t>
      </w:r>
      <w:proofErr w:type="gramEnd"/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Thực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rằng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số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chiếm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tỷ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lệ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số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càng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hiếm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lo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quá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Chỉ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hiểu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đúng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mực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kịp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chăm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sóc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đúng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chẳng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may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mắc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P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 w:rsidRPr="00C81A3C"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 </w:t>
      </w:r>
      <w:r w:rsidRPr="00C81A3C">
        <w:rPr>
          <w:b/>
          <w:color w:val="222222"/>
          <w:sz w:val="28"/>
          <w:szCs w:val="28"/>
          <w:shd w:val="clear" w:color="auto" w:fill="FFFFFF"/>
        </w:rPr>
        <w:t>“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Những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dấu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hiệu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nhận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biết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khi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trẻ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mắc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tay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miệng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>”</w:t>
      </w:r>
    </w:p>
    <w:p w:rsidR="00C81A3C" w:rsidRP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 w:rsidRPr="00C81A3C">
        <w:rPr>
          <w:rFonts w:ascii="Calibri" w:hAnsi="Calibri" w:cs="Calibri"/>
          <w:b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222222"/>
          <w:sz w:val="28"/>
          <w:szCs w:val="28"/>
          <w:shd w:val="clear" w:color="auto" w:fill="FFFFFF"/>
        </w:rPr>
        <w:t xml:space="preserve">Ban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đầu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sốt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than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họng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chảy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miếng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hơn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lastRenderedPageBreak/>
        <w:t> 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khóc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bú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loét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xuất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vòm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môi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lưỡi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Quan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tiếp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thấy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dạng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phỏng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hoặc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nổi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cộm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da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lòng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lòng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đầu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  <w:color w:val="337AB7"/>
          <w:sz w:val="28"/>
          <w:szCs w:val="28"/>
        </w:rPr>
        <w:drawing>
          <wp:inline distT="0" distB="0" distL="0" distR="0" wp14:anchorId="1059A27C" wp14:editId="59BB1842">
            <wp:extent cx="4602582" cy="3276600"/>
            <wp:effectExtent l="0" t="0" r="7620" b="0"/>
            <wp:docPr id="2" name="Picture 2" descr="http://mnquanhoa.caugiay.edu.vn/upload/26960/fck/files/2022_05_09_14_29_542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quanhoa.caugiay.edu.vn/upload/26960/fck/files/2022_05_09_14_29_542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2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Tuy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sốt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hơn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39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độ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triệu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bứt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rứt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quấy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khóc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hoặc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li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thỉnh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thoảng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giật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giơ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hai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nghĩ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trạng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kịp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từ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6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12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tiếng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lừ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đừ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run chi,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trợn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mắt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rung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giật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cơ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tim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nhanh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mạch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nhanh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nhanh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nguy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hiểm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viêm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não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viêm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cơ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tim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phổi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cấp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dẫn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vong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sớm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can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thiệp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kịp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cứu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may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mắn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cứu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nào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sự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triển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sau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P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>
        <w:rPr>
          <w:color w:val="222222"/>
          <w:sz w:val="28"/>
          <w:szCs w:val="28"/>
          <w:shd w:val="clear" w:color="auto" w:fill="FFFFFF"/>
        </w:rPr>
        <w:t>“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Chăm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sóc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trẻ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bị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bệnh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tay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miệng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như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thế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81A3C">
        <w:rPr>
          <w:b/>
          <w:color w:val="222222"/>
          <w:sz w:val="28"/>
          <w:szCs w:val="28"/>
          <w:shd w:val="clear" w:color="auto" w:fill="FFFFFF"/>
        </w:rPr>
        <w:t>nào</w:t>
      </w:r>
      <w:proofErr w:type="spellEnd"/>
      <w:r w:rsidRPr="00C81A3C">
        <w:rPr>
          <w:b/>
          <w:color w:val="222222"/>
          <w:sz w:val="28"/>
          <w:szCs w:val="28"/>
          <w:shd w:val="clear" w:color="auto" w:fill="FFFFFF"/>
        </w:rPr>
        <w:t>”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thấy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dấu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sốt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nổi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bóng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chẩn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đoán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mắc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tay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cách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địa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phương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khuẩn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môi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xung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quanh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hạn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chế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năng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lan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ổ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dịch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799E7211" wp14:editId="4E8AEB10">
            <wp:extent cx="6275343" cy="4019550"/>
            <wp:effectExtent l="0" t="0" r="0" b="0"/>
            <wp:docPr id="3" name="Picture 3" descr="http://mnquanhoa.caugiay.edu.vn/upload/26960/fck/files/2022_05_09_14_29_542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quanhoa.caugiay.edu.vn/upload/26960/fck/files/2022_05_09_14_29_542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43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ngoài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địa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phương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cha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còn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vệ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khuẩn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lớp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kịp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thậm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chí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nghỉ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học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thời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nhiều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đồng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nghĩa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với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một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ổ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dịch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mọi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tuân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yêu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sĩ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định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thì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dõi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thiết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theo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lịch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hẹn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bác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sĩ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cân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nhắc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thấy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cần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nhập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hãy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nhập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dõi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môi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Dù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dõi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khám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ngay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dấu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trở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Đặc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biệt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theo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dõi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giấc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cơn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giật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nếu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Đây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hai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dấu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quan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trọng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thấy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bị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nặng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Những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cơn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giật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xuất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hiện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thiu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thiu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nhưng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cũng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lúc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giật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hoàn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toàn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đang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tỉnh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đang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đùa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Khi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bệnh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chế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độ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chăm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sóc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lý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kiêng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tắm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ngược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phải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giữ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vệ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sạch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sẽ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tắm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phòng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kín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gió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với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xà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phòng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sát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khuẩn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sữa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tắm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có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năng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diệt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khuẩn</w:t>
      </w:r>
      <w:proofErr w:type="spellEnd"/>
      <w:r>
        <w:rPr>
          <w:color w:val="222222"/>
          <w:sz w:val="28"/>
          <w:szCs w:val="28"/>
          <w:shd w:val="clear" w:color="auto" w:fill="FFFFFF"/>
        </w:rPr>
        <w:t>).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Nên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vệ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răng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lưỡi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hằng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ngày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Với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lớn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súc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miệng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bằng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muối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</w:p>
    <w:p w:rsidR="00C81A3C" w:rsidRDefault="00C81A3C" w:rsidP="00C81A3C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proofErr w:type="spellStart"/>
      <w:r>
        <w:rPr>
          <w:color w:val="222222"/>
          <w:sz w:val="28"/>
          <w:szCs w:val="28"/>
          <w:shd w:val="clear" w:color="auto" w:fill="FFFFFF"/>
        </w:rPr>
        <w:t>Về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dinh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dưỡng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ăn</w:t>
      </w:r>
      <w:proofErr w:type="spellEnd"/>
      <w:proofErr w:type="gram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đầy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đủ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nhóm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chất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uống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sữa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ăn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cháo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bình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thường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tăng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cường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uống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nước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hoa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quả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bổ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sung vitamin </w:t>
      </w:r>
      <w:proofErr w:type="spellStart"/>
      <w:r>
        <w:rPr>
          <w:color w:val="222222"/>
          <w:sz w:val="28"/>
          <w:szCs w:val="28"/>
          <w:shd w:val="clear" w:color="auto" w:fill="FFFFFF"/>
        </w:rPr>
        <w:t>cho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trẻ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</w:p>
    <w:p w:rsidR="001976AA" w:rsidRDefault="00C81A3C">
      <w:r>
        <w:rPr>
          <w:b/>
          <w:bCs/>
          <w:color w:val="222222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b/>
          <w:bCs/>
          <w:color w:val="222222"/>
          <w:sz w:val="28"/>
          <w:szCs w:val="28"/>
          <w:shd w:val="clear" w:color="auto" w:fill="FFFFFF"/>
        </w:rPr>
        <w:t xml:space="preserve">Theo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</w:rPr>
        <w:t>chuyên</w:t>
      </w:r>
      <w:proofErr w:type="spellEnd"/>
      <w:r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</w:rPr>
        <w:t>đề</w:t>
      </w:r>
      <w:proofErr w:type="spellEnd"/>
      <w:r>
        <w:rPr>
          <w:b/>
          <w:bCs/>
          <w:color w:val="222222"/>
          <w:sz w:val="28"/>
          <w:szCs w:val="28"/>
          <w:shd w:val="clear" w:color="auto" w:fill="FFFFFF"/>
        </w:rPr>
        <w:t xml:space="preserve"> SKGĐ - NXB Y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</w:rPr>
        <w:t>học</w:t>
      </w:r>
      <w:proofErr w:type="spellEnd"/>
    </w:p>
    <w:sectPr w:rsidR="001976AA" w:rsidSect="00C81A3C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4413"/>
    <w:multiLevelType w:val="multilevel"/>
    <w:tmpl w:val="334EC3F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%3. %2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38CD5848"/>
    <w:multiLevelType w:val="multilevel"/>
    <w:tmpl w:val="5AF4A24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 %2. 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3C"/>
    <w:rsid w:val="001230C1"/>
    <w:rsid w:val="001976AA"/>
    <w:rsid w:val="0027757F"/>
    <w:rsid w:val="008B7B4F"/>
    <w:rsid w:val="00C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8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C1"/>
  </w:style>
  <w:style w:type="paragraph" w:styleId="Heading1">
    <w:name w:val="heading 1"/>
    <w:basedOn w:val="Normal"/>
    <w:next w:val="Normal"/>
    <w:link w:val="Heading1Char"/>
    <w:uiPriority w:val="9"/>
    <w:qFormat/>
    <w:rsid w:val="001230C1"/>
    <w:pPr>
      <w:keepNext/>
      <w:keepLines/>
      <w:numPr>
        <w:numId w:val="6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0C1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0C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0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30C1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8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nquanhoa.caugiay.edu.vn/upload/26960/fck/files/2022_05_09_14_29_5425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nquanhoa.caugiay.edu.vn/upload/26960/fck/files/2022_05_09_14_29_5424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mnquanhoa.caugiay.edu.vn/upload/26960/fck/files/2022_05_09_14_29_5426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2022-09-27T02:33:00Z</dcterms:created>
  <dcterms:modified xsi:type="dcterms:W3CDTF">2022-09-27T02:36:00Z</dcterms:modified>
</cp:coreProperties>
</file>